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430D56">
        <w:rPr>
          <w:sz w:val="28"/>
          <w:szCs w:val="28"/>
        </w:rPr>
        <w:t>Chemistry R/H</w:t>
      </w:r>
      <w:r>
        <w:rPr>
          <w:sz w:val="28"/>
          <w:szCs w:val="28"/>
        </w:rPr>
        <w:t xml:space="preserve">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CD73B1" w:rsidP="003205CD">
            <w:r>
              <w:t>Common assessments established / plan for common scoring of 1 assessment per semester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1060EC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</w:t>
              </w:r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CD73B1" w:rsidP="00203A43">
            <w:r>
              <w:t>Establish common grading policy and communicate to all teachers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1060EC" w:rsidP="00B313B1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1060EC"/>
    <w:rsid w:val="00203A43"/>
    <w:rsid w:val="003205CD"/>
    <w:rsid w:val="00370ECB"/>
    <w:rsid w:val="00430D56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CD73B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2013-08-02T18:16:00Z</dcterms:created>
  <dcterms:modified xsi:type="dcterms:W3CDTF">2013-10-08T00:19:00Z</dcterms:modified>
</cp:coreProperties>
</file>