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CB2DC6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D92F18">
              <w:rPr>
                <w:b/>
                <w:sz w:val="24"/>
                <w:szCs w:val="24"/>
              </w:rPr>
              <w:t xml:space="preserve">HS </w:t>
            </w:r>
            <w:r w:rsidR="00CB2DC6">
              <w:rPr>
                <w:b/>
                <w:sz w:val="24"/>
                <w:szCs w:val="24"/>
              </w:rPr>
              <w:t>Choral Ensembles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5D7432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5D7432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B2DC6" w:rsidP="00E225F7">
            <w:pPr>
              <w:spacing w:after="0"/>
            </w:pPr>
            <w:r>
              <w:t>Essential Questions and topics make it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B2DC6" w:rsidP="00E225F7">
            <w:pPr>
              <w:spacing w:after="0" w:line="286" w:lineRule="auto"/>
            </w:pPr>
            <w:r>
              <w:t>DP concepts are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6955CC">
            <w:pPr>
              <w:spacing w:after="0"/>
            </w:pPr>
            <w:r>
              <w:t>CCSS are included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92F18" w:rsidP="00E225F7">
            <w:pPr>
              <w:spacing w:after="0"/>
            </w:pPr>
            <w:r>
              <w:t>Music</w:t>
            </w:r>
            <w:r w:rsidR="00DA13A7">
              <w:t xml:space="preserve"> </w:t>
            </w:r>
            <w:r w:rsidR="00D3139E">
              <w:t>standards are included</w:t>
            </w:r>
            <w:r w:rsidR="00E225F7"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936C44">
            <w:pPr>
              <w:spacing w:after="0"/>
            </w:pPr>
            <w:r>
              <w:t>Flow from topics to objectives/standards to assessment is clear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BB5D5F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</w:t>
            </w:r>
            <w:r w:rsidR="00D3139E">
              <w:t>ng whether course goals are met and making the alignment clear.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CB2DC6" w:rsidP="00D92F18">
            <w:pPr>
              <w:spacing w:after="0"/>
            </w:pPr>
            <w:r>
              <w:t>They appear to be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8108E2" w:rsidP="00E225F7">
            <w:pPr>
              <w:spacing w:after="0"/>
            </w:pPr>
            <w:r>
              <w:t>Rev</w:t>
            </w:r>
            <w:r w:rsidR="006955CC">
              <w:t xml:space="preserve">iew and adjust matrix </w:t>
            </w:r>
            <w:r w:rsidR="00D3139E">
              <w:t>if necessary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3D" w:rsidRDefault="0069343D" w:rsidP="00820728">
      <w:pPr>
        <w:spacing w:after="0" w:line="240" w:lineRule="auto"/>
      </w:pPr>
      <w:r>
        <w:separator/>
      </w:r>
    </w:p>
  </w:endnote>
  <w:endnote w:type="continuationSeparator" w:id="0">
    <w:p w:rsidR="0069343D" w:rsidRDefault="0069343D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3D" w:rsidRDefault="0069343D" w:rsidP="00820728">
      <w:pPr>
        <w:spacing w:after="0" w:line="240" w:lineRule="auto"/>
      </w:pPr>
      <w:r>
        <w:separator/>
      </w:r>
    </w:p>
  </w:footnote>
  <w:footnote w:type="continuationSeparator" w:id="0">
    <w:p w:rsidR="0069343D" w:rsidRDefault="0069343D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17094"/>
    <w:rsid w:val="00241D13"/>
    <w:rsid w:val="00271DD4"/>
    <w:rsid w:val="003003E5"/>
    <w:rsid w:val="00314E44"/>
    <w:rsid w:val="00354C2C"/>
    <w:rsid w:val="005D7432"/>
    <w:rsid w:val="0060777D"/>
    <w:rsid w:val="0069343D"/>
    <w:rsid w:val="006955CC"/>
    <w:rsid w:val="006A0FDA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D3139E"/>
    <w:rsid w:val="00D92F18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F89B-F649-4DB8-99A4-756B8654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2013-04-27T19:47:00Z</cp:lastPrinted>
  <dcterms:created xsi:type="dcterms:W3CDTF">2013-04-27T20:01:00Z</dcterms:created>
  <dcterms:modified xsi:type="dcterms:W3CDTF">2013-08-02T18:13:00Z</dcterms:modified>
</cp:coreProperties>
</file>