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6210"/>
      </w:tblGrid>
      <w:tr w:rsidR="00820728" w:rsidTr="007D07A0">
        <w:trPr>
          <w:trHeight w:val="530"/>
        </w:trPr>
        <w:tc>
          <w:tcPr>
            <w:tcW w:w="10818"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D07A0">
        <w:trPr>
          <w:trHeight w:val="530"/>
        </w:trPr>
        <w:tc>
          <w:tcPr>
            <w:tcW w:w="4608" w:type="dxa"/>
            <w:gridSpan w:val="7"/>
          </w:tcPr>
          <w:p w:rsidR="00820728" w:rsidRPr="00820728" w:rsidRDefault="00820728" w:rsidP="007D07A0">
            <w:pPr>
              <w:spacing w:after="0"/>
            </w:pPr>
            <w:r w:rsidRPr="00820728">
              <w:rPr>
                <w:b/>
              </w:rPr>
              <w:t>Course:</w:t>
            </w:r>
            <w:r w:rsidR="00CF1B62">
              <w:rPr>
                <w:b/>
              </w:rPr>
              <w:t xml:space="preserve"> </w:t>
            </w:r>
            <w:r w:rsidR="001C3D13">
              <w:rPr>
                <w:b/>
              </w:rPr>
              <w:t>Lang A Lit HL1</w:t>
            </w:r>
          </w:p>
        </w:tc>
        <w:tc>
          <w:tcPr>
            <w:tcW w:w="6210" w:type="dxa"/>
          </w:tcPr>
          <w:p w:rsidR="00820728" w:rsidRPr="00820728" w:rsidRDefault="00820728" w:rsidP="00712960">
            <w:pPr>
              <w:spacing w:after="0"/>
            </w:pPr>
            <w:r w:rsidRPr="00820728">
              <w:rPr>
                <w:b/>
              </w:rPr>
              <w:t>Reviewer:</w:t>
            </w:r>
            <w:r w:rsidR="00CF1B62">
              <w:rPr>
                <w:b/>
              </w:rPr>
              <w:t xml:space="preserve"> </w:t>
            </w:r>
            <w:r w:rsidR="001C3D13">
              <w:rPr>
                <w:b/>
              </w:rPr>
              <w:t>KGR</w:t>
            </w:r>
          </w:p>
          <w:p w:rsidR="00820728" w:rsidRPr="00820728" w:rsidRDefault="00820728" w:rsidP="00552509">
            <w:pPr>
              <w:spacing w:after="0"/>
            </w:pPr>
            <w:r w:rsidRPr="00820728">
              <w:rPr>
                <w:b/>
              </w:rPr>
              <w:t>Review Date:</w:t>
            </w:r>
            <w:r w:rsidR="00CF1B62">
              <w:rPr>
                <w:b/>
              </w:rPr>
              <w:t xml:space="preserve"> </w:t>
            </w:r>
            <w:r w:rsidR="00552509">
              <w:rPr>
                <w:b/>
              </w:rPr>
              <w:t>8/7</w:t>
            </w:r>
            <w:bookmarkStart w:id="0" w:name="_GoBack"/>
            <w:bookmarkEnd w:id="0"/>
            <w:r w:rsidR="001C3D13">
              <w:rPr>
                <w:b/>
              </w:rPr>
              <w:t>/2013</w:t>
            </w:r>
          </w:p>
        </w:tc>
      </w:tr>
      <w:tr w:rsidR="00820728" w:rsidTr="007D07A0">
        <w:tc>
          <w:tcPr>
            <w:tcW w:w="10818"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7D07A0">
        <w:trPr>
          <w:cantSplit/>
          <w:trHeight w:val="1457"/>
        </w:trPr>
        <w:tc>
          <w:tcPr>
            <w:tcW w:w="2587" w:type="dxa"/>
          </w:tcPr>
          <w:p w:rsidR="00820728" w:rsidRDefault="00820728" w:rsidP="00712960">
            <w:pPr>
              <w:widowControl w:val="0"/>
              <w:spacing w:after="0"/>
              <w:rPr>
                <w:sz w:val="18"/>
                <w:szCs w:val="18"/>
                <w14:ligatures w14:val="none"/>
              </w:rPr>
            </w:pP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6210"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D07A0">
        <w:tc>
          <w:tcPr>
            <w:tcW w:w="10818"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D07A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71C7" w:rsidRDefault="00820728" w:rsidP="00712960">
            <w:pPr>
              <w:spacing w:after="0"/>
              <w:jc w:val="center"/>
            </w:pPr>
            <w:r w:rsidRPr="007B71C7">
              <w:t>WW</w:t>
            </w:r>
          </w:p>
        </w:tc>
        <w:tc>
          <w:tcPr>
            <w:tcW w:w="360" w:type="dxa"/>
            <w:vAlign w:val="center"/>
          </w:tcPr>
          <w:p w:rsidR="00820728" w:rsidRPr="007B71C7" w:rsidRDefault="00820728" w:rsidP="00712960">
            <w:pPr>
              <w:spacing w:after="0"/>
              <w:jc w:val="center"/>
              <w:rPr>
                <w:u w:val="single"/>
              </w:rPr>
            </w:pPr>
            <w:r w:rsidRPr="007B71C7">
              <w:rPr>
                <w:u w:val="single"/>
              </w:rPr>
              <w:t>E</w:t>
            </w:r>
          </w:p>
        </w:tc>
        <w:tc>
          <w:tcPr>
            <w:tcW w:w="6210" w:type="dxa"/>
            <w:vAlign w:val="center"/>
          </w:tcPr>
          <w:p w:rsidR="00820728" w:rsidRPr="00241D13" w:rsidRDefault="007B71C7" w:rsidP="000B7F3A">
            <w:pPr>
              <w:spacing w:after="0" w:line="240" w:lineRule="auto"/>
            </w:pPr>
            <w:r>
              <w:t>Clear focus is evident throughout</w:t>
            </w:r>
          </w:p>
        </w:tc>
      </w:tr>
      <w:tr w:rsidR="00820728" w:rsidRPr="00241D13" w:rsidTr="007D07A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71C7" w:rsidRDefault="00820728" w:rsidP="00712960">
            <w:pPr>
              <w:spacing w:after="0"/>
              <w:jc w:val="center"/>
              <w:rPr>
                <w:u w:val="single"/>
              </w:rPr>
            </w:pPr>
            <w:r w:rsidRPr="007B71C7">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71C7" w:rsidP="000B7F3A">
            <w:pPr>
              <w:spacing w:after="0" w:line="240" w:lineRule="auto"/>
            </w:pPr>
            <w:r>
              <w:t>Concepts are addressed—perhaps some attention to the sections of the IB syllabus? (Part 1-4?)</w:t>
            </w:r>
          </w:p>
        </w:tc>
      </w:tr>
      <w:tr w:rsidR="00820728" w:rsidRPr="00241D13" w:rsidTr="007D07A0">
        <w:tc>
          <w:tcPr>
            <w:tcW w:w="2587" w:type="dxa"/>
          </w:tcPr>
          <w:p w:rsidR="00820728" w:rsidRPr="00820728" w:rsidRDefault="00712960" w:rsidP="00712960">
            <w:pPr>
              <w:widowControl w:val="0"/>
              <w:spacing w:after="0"/>
              <w:rPr>
                <w:sz w:val="18"/>
                <w:szCs w:val="18"/>
                <w14:ligatures w14:val="none"/>
              </w:rPr>
            </w:pPr>
            <w:r>
              <w:rPr>
                <w:sz w:val="18"/>
                <w:szCs w:val="18"/>
                <w14:ligatures w14:val="none"/>
              </w:rPr>
              <w:t xml:space="preserve">Is it clear </w:t>
            </w:r>
            <w:proofErr w:type="gramStart"/>
            <w:r>
              <w:rPr>
                <w:sz w:val="18"/>
                <w:szCs w:val="18"/>
                <w14:ligatures w14:val="none"/>
              </w:rPr>
              <w:t xml:space="preserve">which </w:t>
            </w:r>
            <w:r w:rsidR="00820728">
              <w:rPr>
                <w:sz w:val="18"/>
                <w:szCs w:val="18"/>
                <w14:ligatures w14:val="none"/>
              </w:rPr>
              <w:t xml:space="preserve"> </w:t>
            </w:r>
            <w:r>
              <w:rPr>
                <w:sz w:val="18"/>
                <w:szCs w:val="18"/>
                <w14:ligatures w14:val="none"/>
              </w:rPr>
              <w:t>of</w:t>
            </w:r>
            <w:proofErr w:type="gramEnd"/>
            <w:r>
              <w:rPr>
                <w:sz w:val="18"/>
                <w:szCs w:val="18"/>
                <w14:ligatures w14:val="none"/>
              </w:rPr>
              <w:t xml:space="preserve"> the </w:t>
            </w:r>
            <w:r w:rsidR="00820728">
              <w:rPr>
                <w:sz w:val="18"/>
                <w:szCs w:val="18"/>
                <w14:ligatures w14:val="none"/>
              </w:rPr>
              <w:t>Common Core Learning Standards (CCLS)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71C7" w:rsidRDefault="00820728" w:rsidP="00712960">
            <w:pPr>
              <w:spacing w:after="0"/>
              <w:jc w:val="center"/>
            </w:pPr>
            <w:r w:rsidRPr="007B71C7">
              <w:t>WW</w:t>
            </w:r>
          </w:p>
        </w:tc>
        <w:tc>
          <w:tcPr>
            <w:tcW w:w="360" w:type="dxa"/>
            <w:vAlign w:val="center"/>
          </w:tcPr>
          <w:p w:rsidR="00820728" w:rsidRPr="007B71C7" w:rsidRDefault="00820728" w:rsidP="00712960">
            <w:pPr>
              <w:spacing w:after="0"/>
              <w:jc w:val="center"/>
              <w:rPr>
                <w:u w:val="single"/>
              </w:rPr>
            </w:pPr>
            <w:r w:rsidRPr="007B71C7">
              <w:rPr>
                <w:u w:val="single"/>
              </w:rPr>
              <w:t>E</w:t>
            </w:r>
          </w:p>
        </w:tc>
        <w:tc>
          <w:tcPr>
            <w:tcW w:w="6210" w:type="dxa"/>
            <w:vAlign w:val="center"/>
          </w:tcPr>
          <w:p w:rsidR="00820728" w:rsidRPr="00241D13" w:rsidRDefault="007B71C7" w:rsidP="000B7F3A">
            <w:pPr>
              <w:spacing w:after="0" w:line="240" w:lineRule="auto"/>
            </w:pPr>
            <w:r>
              <w:t>Clear concepts chosen</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71C7" w:rsidRDefault="00820728" w:rsidP="00712960">
            <w:pPr>
              <w:spacing w:after="0"/>
              <w:jc w:val="center"/>
              <w:rPr>
                <w:u w:val="single"/>
              </w:rPr>
            </w:pPr>
            <w:r w:rsidRPr="007B71C7">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71C7" w:rsidP="000B7F3A">
            <w:pPr>
              <w:spacing w:after="0" w:line="240" w:lineRule="auto"/>
            </w:pPr>
            <w:r>
              <w:t xml:space="preserve">This looks good—another review of what is listed and what is appropriate is necessary… just a double check (now that your understanding of the CCLS is </w:t>
            </w:r>
            <w:proofErr w:type="gramStart"/>
            <w:r>
              <w:t>more clear</w:t>
            </w:r>
            <w:proofErr w:type="gramEnd"/>
            <w:r>
              <w:t>).</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7D07A0" w:rsidRDefault="00820728" w:rsidP="000B7F3A">
            <w:pPr>
              <w:spacing w:after="0"/>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71C7" w:rsidRDefault="00820728" w:rsidP="00712960">
            <w:pPr>
              <w:spacing w:after="0"/>
              <w:jc w:val="center"/>
              <w:rPr>
                <w:u w:val="single"/>
              </w:rPr>
            </w:pPr>
            <w:r w:rsidRPr="007B71C7">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71C7" w:rsidP="000B7F3A">
            <w:pPr>
              <w:spacing w:after="0" w:line="240" w:lineRule="auto"/>
            </w:pPr>
            <w:r>
              <w:t>DP standards are inserted.  Please make sure on the unit planner which elements of the DP curriculum are tied to these standards.</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71C7" w:rsidRDefault="00820728" w:rsidP="00712960">
            <w:pPr>
              <w:spacing w:after="0"/>
              <w:jc w:val="center"/>
              <w:rPr>
                <w:u w:val="single"/>
              </w:rPr>
            </w:pPr>
            <w:r w:rsidRPr="007B71C7">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71C7" w:rsidP="000B7F3A">
            <w:pPr>
              <w:spacing w:after="0" w:line="240" w:lineRule="auto"/>
            </w:pPr>
            <w:r>
              <w:t>Perhaps a bit more clarity is necessary here—clear ties to the overall IB assessments/goals</w:t>
            </w:r>
          </w:p>
        </w:tc>
      </w:tr>
      <w:tr w:rsidR="00712960" w:rsidRPr="00241D13" w:rsidTr="007D07A0">
        <w:tc>
          <w:tcPr>
            <w:tcW w:w="10818"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D07A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7D07A0" w:rsidRDefault="00712960" w:rsidP="00712960">
            <w:pPr>
              <w:spacing w:after="0"/>
              <w:jc w:val="center"/>
            </w:pPr>
            <w:r w:rsidRPr="007D07A0">
              <w:t>GS</w:t>
            </w:r>
          </w:p>
        </w:tc>
        <w:tc>
          <w:tcPr>
            <w:tcW w:w="630" w:type="dxa"/>
            <w:gridSpan w:val="2"/>
            <w:vAlign w:val="center"/>
          </w:tcPr>
          <w:p w:rsidR="00712960" w:rsidRPr="007D07A0" w:rsidRDefault="00712960" w:rsidP="00712960">
            <w:pPr>
              <w:spacing w:after="0"/>
              <w:jc w:val="center"/>
            </w:pPr>
            <w:r w:rsidRPr="007B71C7">
              <w:rPr>
                <w:u w:val="single"/>
              </w:rPr>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7B71C7" w:rsidP="000B7F3A">
            <w:pPr>
              <w:spacing w:after="0" w:line="240" w:lineRule="auto"/>
            </w:pPr>
            <w:r>
              <w:t>The assessments seem to measure the concepts/standards selected.  Be sure that you don’t have more standards listed than you intend to address/represent on the grading tools (rubrics).</w:t>
            </w:r>
          </w:p>
        </w:tc>
      </w:tr>
      <w:tr w:rsidR="00712960" w:rsidRPr="00241D13" w:rsidTr="007D07A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r w:rsidR="000B7F3A">
              <w:rPr>
                <w:sz w:val="18"/>
                <w:szCs w:val="18"/>
                <w14:ligatures w14:val="none"/>
              </w:rPr>
              <w:t>, investigations</w:t>
            </w:r>
            <w:r>
              <w:rPr>
                <w:sz w:val="18"/>
                <w:szCs w:val="18"/>
                <w14:ligatures w14:val="none"/>
              </w:rPr>
              <w:t>, organized debates, hands-on experimentation, analysis and reflection)?</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7D07A0" w:rsidRDefault="00712960" w:rsidP="00712960">
            <w:pPr>
              <w:spacing w:after="0"/>
              <w:jc w:val="center"/>
            </w:pPr>
            <w:r w:rsidRPr="007D07A0">
              <w:t>GS</w:t>
            </w:r>
          </w:p>
        </w:tc>
        <w:tc>
          <w:tcPr>
            <w:tcW w:w="630" w:type="dxa"/>
            <w:gridSpan w:val="2"/>
            <w:vAlign w:val="center"/>
          </w:tcPr>
          <w:p w:rsidR="00712960" w:rsidRPr="007B71C7" w:rsidRDefault="00712960" w:rsidP="00712960">
            <w:pPr>
              <w:spacing w:after="0"/>
              <w:jc w:val="center"/>
              <w:rPr>
                <w:u w:val="single"/>
              </w:rPr>
            </w:pPr>
            <w:r w:rsidRPr="007B71C7">
              <w:rPr>
                <w:u w:val="single"/>
              </w:rPr>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7B71C7" w:rsidP="000B7F3A">
            <w:pPr>
              <w:spacing w:after="0" w:line="240" w:lineRule="auto"/>
            </w:pPr>
            <w:r>
              <w:t>Be sure that formative assessments listed are ungraded and used as a source for generating feedback and building necessary skill for the summative assessments.</w:t>
            </w:r>
          </w:p>
        </w:tc>
      </w:tr>
      <w:tr w:rsidR="00712960" w:rsidTr="007D07A0">
        <w:trPr>
          <w:trHeight w:val="305"/>
        </w:trPr>
        <w:tc>
          <w:tcPr>
            <w:tcW w:w="10818"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t>Recommendations:</w:t>
            </w:r>
          </w:p>
        </w:tc>
      </w:tr>
      <w:tr w:rsidR="00712960" w:rsidTr="007D07A0">
        <w:trPr>
          <w:trHeight w:val="530"/>
        </w:trPr>
        <w:tc>
          <w:tcPr>
            <w:tcW w:w="10818" w:type="dxa"/>
            <w:gridSpan w:val="8"/>
          </w:tcPr>
          <w:p w:rsidR="00712960" w:rsidRDefault="001C3D13" w:rsidP="000B7F3A">
            <w:pPr>
              <w:spacing w:after="0" w:line="240" w:lineRule="auto"/>
            </w:pPr>
            <w:r>
              <w:t>Review formative assessments—they should be skill building based and ungraded.  Ensure that they are building necessary skills for the summative assessments, that they are feedback-generating and aim to ensure student success on the summative assessments.   If they are intended to be graded, move them to assessments on the unit planner and create something which will achieve the goals for a formative assessment.</w:t>
            </w:r>
          </w:p>
        </w:tc>
      </w:tr>
    </w:tbl>
    <w:p w:rsidR="00F94F44" w:rsidRDefault="00F94F44"/>
    <w:sectPr w:rsidR="00F94F44" w:rsidSect="007D07A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EC" w:rsidRDefault="000555EC" w:rsidP="00820728">
      <w:pPr>
        <w:spacing w:after="0" w:line="240" w:lineRule="auto"/>
      </w:pPr>
      <w:r>
        <w:separator/>
      </w:r>
    </w:p>
  </w:endnote>
  <w:endnote w:type="continuationSeparator" w:id="0">
    <w:p w:rsidR="000555EC" w:rsidRDefault="000555EC"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EC" w:rsidRDefault="000555EC" w:rsidP="00820728">
      <w:pPr>
        <w:spacing w:after="0" w:line="240" w:lineRule="auto"/>
      </w:pPr>
      <w:r>
        <w:separator/>
      </w:r>
    </w:p>
  </w:footnote>
  <w:footnote w:type="continuationSeparator" w:id="0">
    <w:p w:rsidR="000555EC" w:rsidRDefault="000555EC"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760573D" wp14:editId="55FF87C4">
          <wp:simplePos x="0" y="0"/>
          <wp:positionH relativeFrom="column">
            <wp:posOffset>1524000</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0555EC"/>
    <w:rsid w:val="000B7F3A"/>
    <w:rsid w:val="001C3D13"/>
    <w:rsid w:val="00241D13"/>
    <w:rsid w:val="00271DD4"/>
    <w:rsid w:val="00552509"/>
    <w:rsid w:val="00712960"/>
    <w:rsid w:val="00713664"/>
    <w:rsid w:val="007B71C7"/>
    <w:rsid w:val="007D07A0"/>
    <w:rsid w:val="00820728"/>
    <w:rsid w:val="00867232"/>
    <w:rsid w:val="00AE5588"/>
    <w:rsid w:val="00AF4F91"/>
    <w:rsid w:val="00BC0866"/>
    <w:rsid w:val="00CD200B"/>
    <w:rsid w:val="00CF1B62"/>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B0BA-CB81-4538-BF8B-DFAA9F47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3</cp:revision>
  <dcterms:created xsi:type="dcterms:W3CDTF">2013-07-09T17:19:00Z</dcterms:created>
  <dcterms:modified xsi:type="dcterms:W3CDTF">2013-08-26T00:11:00Z</dcterms:modified>
</cp:coreProperties>
</file>