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587"/>
        <w:gridCol w:w="491"/>
        <w:gridCol w:w="29"/>
        <w:gridCol w:w="511"/>
        <w:gridCol w:w="9"/>
        <w:gridCol w:w="621"/>
        <w:gridCol w:w="360"/>
        <w:gridCol w:w="6210"/>
      </w:tblGrid>
      <w:tr w:rsidR="00820728" w:rsidTr="007D07A0">
        <w:trPr>
          <w:trHeight w:val="530"/>
        </w:trPr>
        <w:tc>
          <w:tcPr>
            <w:tcW w:w="10818" w:type="dxa"/>
            <w:gridSpan w:val="8"/>
            <w:shd w:val="clear" w:color="auto" w:fill="BFBFBF" w:themeFill="background1" w:themeFillShade="BF"/>
            <w:vAlign w:val="center"/>
          </w:tcPr>
          <w:p w:rsidR="00820728" w:rsidRPr="00820728" w:rsidRDefault="00820728" w:rsidP="00712960">
            <w:pPr>
              <w:widowControl w:val="0"/>
              <w:spacing w:after="0" w:line="223" w:lineRule="auto"/>
              <w:jc w:val="center"/>
              <w:rPr>
                <w:b/>
                <w:bCs/>
                <w:sz w:val="32"/>
                <w:szCs w:val="32"/>
                <w14:ligatures w14:val="none"/>
              </w:rPr>
            </w:pPr>
            <w:r>
              <w:rPr>
                <w:b/>
                <w:bCs/>
                <w:sz w:val="32"/>
                <w:szCs w:val="32"/>
                <w14:ligatures w14:val="none"/>
              </w:rPr>
              <w:t>Checklist for Review of Secondary Curriculum Matrices</w:t>
            </w:r>
          </w:p>
        </w:tc>
      </w:tr>
      <w:tr w:rsidR="00820728" w:rsidTr="007D07A0">
        <w:trPr>
          <w:trHeight w:val="530"/>
        </w:trPr>
        <w:tc>
          <w:tcPr>
            <w:tcW w:w="4608" w:type="dxa"/>
            <w:gridSpan w:val="7"/>
          </w:tcPr>
          <w:p w:rsidR="00820728" w:rsidRPr="00820728" w:rsidRDefault="00820728" w:rsidP="007D07A0">
            <w:pPr>
              <w:spacing w:after="0"/>
            </w:pPr>
            <w:r w:rsidRPr="00820728">
              <w:rPr>
                <w:b/>
              </w:rPr>
              <w:t>Course:</w:t>
            </w:r>
            <w:r w:rsidR="00CF1B62">
              <w:rPr>
                <w:b/>
              </w:rPr>
              <w:t xml:space="preserve"> </w:t>
            </w:r>
            <w:r w:rsidR="0036333B">
              <w:rPr>
                <w:b/>
              </w:rPr>
              <w:t>Lang A Gr 12 (L&amp;L)</w:t>
            </w:r>
          </w:p>
        </w:tc>
        <w:tc>
          <w:tcPr>
            <w:tcW w:w="6210" w:type="dxa"/>
          </w:tcPr>
          <w:p w:rsidR="00820728" w:rsidRPr="00820728" w:rsidRDefault="00820728" w:rsidP="00712960">
            <w:pPr>
              <w:spacing w:after="0"/>
            </w:pPr>
            <w:r w:rsidRPr="00820728">
              <w:rPr>
                <w:b/>
              </w:rPr>
              <w:t>Reviewer:</w:t>
            </w:r>
            <w:r w:rsidR="00CF1B62">
              <w:rPr>
                <w:b/>
              </w:rPr>
              <w:t xml:space="preserve"> </w:t>
            </w:r>
            <w:r w:rsidR="0036333B">
              <w:rPr>
                <w:b/>
              </w:rPr>
              <w:t>KGR</w:t>
            </w:r>
          </w:p>
          <w:p w:rsidR="00820728" w:rsidRPr="00820728" w:rsidRDefault="00820728" w:rsidP="002769F0">
            <w:pPr>
              <w:spacing w:after="0"/>
            </w:pPr>
            <w:r w:rsidRPr="00820728">
              <w:rPr>
                <w:b/>
              </w:rPr>
              <w:t>Review Date</w:t>
            </w:r>
            <w:r w:rsidR="002769F0">
              <w:rPr>
                <w:b/>
              </w:rPr>
              <w:t xml:space="preserve">: </w:t>
            </w:r>
            <w:bookmarkStart w:id="0" w:name="_GoBack"/>
            <w:bookmarkEnd w:id="0"/>
            <w:r w:rsidR="002769F0">
              <w:rPr>
                <w:b/>
              </w:rPr>
              <w:t>8/7</w:t>
            </w:r>
            <w:r w:rsidR="0036333B">
              <w:rPr>
                <w:b/>
              </w:rPr>
              <w:t>/2013</w:t>
            </w:r>
          </w:p>
        </w:tc>
      </w:tr>
      <w:tr w:rsidR="00820728" w:rsidTr="007D07A0">
        <w:tc>
          <w:tcPr>
            <w:tcW w:w="10818" w:type="dxa"/>
            <w:gridSpan w:val="8"/>
            <w:shd w:val="clear" w:color="auto" w:fill="E5B8B7" w:themeFill="accent2" w:themeFillTint="66"/>
          </w:tcPr>
          <w:p w:rsidR="00820728" w:rsidRPr="00712960" w:rsidRDefault="00820728" w:rsidP="00712960">
            <w:pPr>
              <w:spacing w:after="0"/>
              <w:rPr>
                <w:b/>
              </w:rPr>
            </w:pPr>
            <w:r w:rsidRPr="00712960">
              <w:rPr>
                <w:b/>
                <w:shd w:val="clear" w:color="auto" w:fill="E5B8B7" w:themeFill="accent2" w:themeFillTint="66"/>
              </w:rPr>
              <w:t>MATRICES: How does the current matrix reflect the criteria below?</w:t>
            </w:r>
          </w:p>
        </w:tc>
      </w:tr>
      <w:tr w:rsidR="00820728" w:rsidTr="007D07A0">
        <w:trPr>
          <w:cantSplit/>
          <w:trHeight w:val="1457"/>
        </w:trPr>
        <w:tc>
          <w:tcPr>
            <w:tcW w:w="2587" w:type="dxa"/>
          </w:tcPr>
          <w:p w:rsidR="00820728" w:rsidRDefault="00820728" w:rsidP="00712960">
            <w:pPr>
              <w:widowControl w:val="0"/>
              <w:spacing w:after="0"/>
              <w:rPr>
                <w:sz w:val="18"/>
                <w:szCs w:val="18"/>
                <w14:ligatures w14:val="none"/>
              </w:rPr>
            </w:pP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Not Present</w:t>
            </w:r>
          </w:p>
        </w:tc>
        <w:tc>
          <w:tcPr>
            <w:tcW w:w="520" w:type="dxa"/>
            <w:gridSpan w:val="2"/>
            <w:textDirection w:val="tbRl"/>
            <w:vAlign w:val="center"/>
          </w:tcPr>
          <w:p w:rsidR="00820728" w:rsidRPr="00820728" w:rsidRDefault="00820728" w:rsidP="00712960">
            <w:pPr>
              <w:spacing w:after="0"/>
              <w:ind w:left="113" w:right="113"/>
              <w:jc w:val="center"/>
              <w:rPr>
                <w:b/>
              </w:rPr>
            </w:pPr>
            <w:r w:rsidRPr="00820728">
              <w:rPr>
                <w:b/>
              </w:rPr>
              <w:t>Good Start</w:t>
            </w:r>
          </w:p>
        </w:tc>
        <w:tc>
          <w:tcPr>
            <w:tcW w:w="621" w:type="dxa"/>
            <w:textDirection w:val="tbRl"/>
            <w:vAlign w:val="center"/>
          </w:tcPr>
          <w:p w:rsidR="00820728" w:rsidRPr="00820728" w:rsidRDefault="00820728" w:rsidP="00712960">
            <w:pPr>
              <w:spacing w:after="0"/>
              <w:ind w:left="113" w:right="113"/>
              <w:jc w:val="center"/>
              <w:rPr>
                <w:b/>
              </w:rPr>
            </w:pPr>
            <w:r w:rsidRPr="00820728">
              <w:rPr>
                <w:b/>
              </w:rPr>
              <w:t>Well on the Way</w:t>
            </w:r>
          </w:p>
        </w:tc>
        <w:tc>
          <w:tcPr>
            <w:tcW w:w="360" w:type="dxa"/>
            <w:textDirection w:val="tbRl"/>
            <w:vAlign w:val="center"/>
          </w:tcPr>
          <w:p w:rsidR="00820728" w:rsidRPr="00820728" w:rsidRDefault="00820728" w:rsidP="00712960">
            <w:pPr>
              <w:spacing w:after="0"/>
              <w:ind w:left="113" w:right="113"/>
              <w:jc w:val="center"/>
              <w:rPr>
                <w:b/>
              </w:rPr>
            </w:pPr>
            <w:r w:rsidRPr="00820728">
              <w:rPr>
                <w:b/>
              </w:rPr>
              <w:t>Exemplar</w:t>
            </w:r>
          </w:p>
        </w:tc>
        <w:tc>
          <w:tcPr>
            <w:tcW w:w="6210" w:type="dxa"/>
            <w:vAlign w:val="center"/>
          </w:tcPr>
          <w:p w:rsidR="00820728" w:rsidRPr="00BC0866" w:rsidRDefault="00BC0866" w:rsidP="00BC0866">
            <w:pPr>
              <w:spacing w:after="0"/>
              <w:jc w:val="center"/>
              <w:rPr>
                <w:b/>
                <w:sz w:val="22"/>
                <w:szCs w:val="22"/>
              </w:rPr>
            </w:pPr>
            <w:r w:rsidRPr="00BC0866">
              <w:rPr>
                <w:b/>
                <w:sz w:val="22"/>
                <w:szCs w:val="22"/>
              </w:rPr>
              <w:t>Evidence</w:t>
            </w:r>
          </w:p>
        </w:tc>
      </w:tr>
      <w:tr w:rsidR="00712960" w:rsidTr="007D07A0">
        <w:tc>
          <w:tcPr>
            <w:tcW w:w="10818" w:type="dxa"/>
            <w:gridSpan w:val="8"/>
            <w:shd w:val="clear" w:color="auto" w:fill="D9D9D9" w:themeFill="background1" w:themeFillShade="D9"/>
          </w:tcPr>
          <w:p w:rsidR="00712960" w:rsidRPr="00712960" w:rsidRDefault="00712960" w:rsidP="00712960">
            <w:pPr>
              <w:spacing w:after="0"/>
              <w:rPr>
                <w:b/>
                <w:sz w:val="22"/>
                <w:szCs w:val="22"/>
              </w:rPr>
            </w:pPr>
            <w:r w:rsidRPr="00712960">
              <w:rPr>
                <w:b/>
                <w:sz w:val="22"/>
                <w:szCs w:val="22"/>
                <w14:ligatures w14:val="none"/>
              </w:rPr>
              <w:t>Learning Focus</w:t>
            </w:r>
          </w:p>
        </w:tc>
      </w:tr>
      <w:tr w:rsidR="00820728" w:rsidRPr="00241D13" w:rsidTr="007D07A0">
        <w:tc>
          <w:tcPr>
            <w:tcW w:w="2587" w:type="dxa"/>
            <w:vAlign w:val="center"/>
          </w:tcPr>
          <w:p w:rsidR="00820728" w:rsidRPr="00820728" w:rsidRDefault="00820728" w:rsidP="00712960">
            <w:pPr>
              <w:widowControl w:val="0"/>
              <w:spacing w:after="0"/>
              <w:jc w:val="center"/>
              <w:rPr>
                <w:sz w:val="18"/>
                <w:szCs w:val="18"/>
                <w14:ligatures w14:val="none"/>
              </w:rPr>
            </w:pPr>
            <w:r>
              <w:rPr>
                <w:sz w:val="18"/>
                <w:szCs w:val="18"/>
                <w14:ligatures w14:val="none"/>
              </w:rPr>
              <w:t>Does the matrix show a clear learning focus for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36333B" w:rsidRDefault="00820728" w:rsidP="00712960">
            <w:pPr>
              <w:spacing w:after="0"/>
              <w:jc w:val="center"/>
              <w:rPr>
                <w:u w:val="single"/>
              </w:rPr>
            </w:pPr>
            <w:r w:rsidRPr="0036333B">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965446" w:rsidP="000B7F3A">
            <w:pPr>
              <w:spacing w:after="0" w:line="240" w:lineRule="auto"/>
            </w:pPr>
            <w:r>
              <w:t>There is a clear focus for the course and a strong focus on literature and the language used within in. In addition, it is clear that students will be required to engage in written and oral discourse.</w:t>
            </w:r>
          </w:p>
        </w:tc>
      </w:tr>
      <w:tr w:rsidR="00820728" w:rsidRPr="00241D13" w:rsidTr="007D07A0">
        <w:trPr>
          <w:trHeight w:val="890"/>
        </w:trPr>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what concepts are to be taught and assessed during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36333B" w:rsidRDefault="00820728" w:rsidP="00712960">
            <w:pPr>
              <w:spacing w:after="0"/>
              <w:jc w:val="center"/>
              <w:rPr>
                <w:u w:val="single"/>
              </w:rPr>
            </w:pPr>
            <w:r w:rsidRPr="0036333B">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965446" w:rsidP="000B7F3A">
            <w:pPr>
              <w:spacing w:after="0" w:line="240" w:lineRule="auto"/>
            </w:pPr>
            <w:r>
              <w:t>There is a clear link between what is taught and what is to be assessed.</w:t>
            </w:r>
          </w:p>
        </w:tc>
      </w:tr>
      <w:tr w:rsidR="00820728" w:rsidRPr="00241D13" w:rsidTr="007D07A0">
        <w:tc>
          <w:tcPr>
            <w:tcW w:w="2587" w:type="dxa"/>
          </w:tcPr>
          <w:p w:rsidR="00820728" w:rsidRPr="00820728" w:rsidRDefault="00712960" w:rsidP="00712960">
            <w:pPr>
              <w:widowControl w:val="0"/>
              <w:spacing w:after="0"/>
              <w:rPr>
                <w:sz w:val="18"/>
                <w:szCs w:val="18"/>
                <w14:ligatures w14:val="none"/>
              </w:rPr>
            </w:pPr>
            <w:r>
              <w:rPr>
                <w:sz w:val="18"/>
                <w:szCs w:val="18"/>
                <w14:ligatures w14:val="none"/>
              </w:rPr>
              <w:t xml:space="preserve">Is it clear </w:t>
            </w:r>
            <w:proofErr w:type="gramStart"/>
            <w:r>
              <w:rPr>
                <w:sz w:val="18"/>
                <w:szCs w:val="18"/>
                <w14:ligatures w14:val="none"/>
              </w:rPr>
              <w:t xml:space="preserve">which </w:t>
            </w:r>
            <w:r w:rsidR="00820728">
              <w:rPr>
                <w:sz w:val="18"/>
                <w:szCs w:val="18"/>
                <w14:ligatures w14:val="none"/>
              </w:rPr>
              <w:t xml:space="preserve"> </w:t>
            </w:r>
            <w:r>
              <w:rPr>
                <w:sz w:val="18"/>
                <w:szCs w:val="18"/>
                <w14:ligatures w14:val="none"/>
              </w:rPr>
              <w:t>of</w:t>
            </w:r>
            <w:proofErr w:type="gramEnd"/>
            <w:r>
              <w:rPr>
                <w:sz w:val="18"/>
                <w:szCs w:val="18"/>
                <w14:ligatures w14:val="none"/>
              </w:rPr>
              <w:t xml:space="preserve"> the </w:t>
            </w:r>
            <w:r w:rsidR="00820728">
              <w:rPr>
                <w:sz w:val="18"/>
                <w:szCs w:val="18"/>
                <w14:ligatures w14:val="none"/>
              </w:rPr>
              <w:t>Common Core Learning Standards (CCLS) are to be taught and assessed during the course?</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36333B" w:rsidRDefault="00820728" w:rsidP="00712960">
            <w:pPr>
              <w:spacing w:after="0"/>
              <w:jc w:val="center"/>
              <w:rPr>
                <w:u w:val="single"/>
              </w:rPr>
            </w:pPr>
            <w:r w:rsidRPr="0036333B">
              <w:rPr>
                <w:u w:val="single"/>
              </w:rPr>
              <w:t>GS</w:t>
            </w:r>
          </w:p>
        </w:tc>
        <w:tc>
          <w:tcPr>
            <w:tcW w:w="621" w:type="dxa"/>
            <w:vAlign w:val="center"/>
          </w:tcPr>
          <w:p w:rsidR="00820728" w:rsidRPr="007D07A0" w:rsidRDefault="00820728" w:rsidP="00712960">
            <w:pPr>
              <w:spacing w:after="0"/>
              <w:jc w:val="center"/>
            </w:pPr>
            <w:r w:rsidRPr="007D07A0">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965446" w:rsidP="000B7F3A">
            <w:pPr>
              <w:spacing w:after="0" w:line="240" w:lineRule="auto"/>
            </w:pPr>
            <w:r>
              <w:t>There are tons of CCLS listed for each unit—while each of these might be met within the unit (within every unit actually), be sure that the ones you intend to assess are listed on the matrix. Perhaps a paring down?</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Are all CCLS that need to be taught and assessed during the course included on the matrix?</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36333B" w:rsidRDefault="00820728" w:rsidP="00712960">
            <w:pPr>
              <w:spacing w:after="0"/>
              <w:jc w:val="center"/>
              <w:rPr>
                <w:u w:val="single"/>
              </w:rPr>
            </w:pPr>
            <w:r w:rsidRPr="0036333B">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965446" w:rsidP="000B7F3A">
            <w:pPr>
              <w:spacing w:after="0" w:line="240" w:lineRule="auto"/>
            </w:pPr>
            <w:r>
              <w:t>See previous box…</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Does the matrix show necessary additional standards (NYS or other) that are to be taught and assessed?</w:t>
            </w:r>
          </w:p>
        </w:tc>
        <w:tc>
          <w:tcPr>
            <w:tcW w:w="520" w:type="dxa"/>
            <w:gridSpan w:val="2"/>
            <w:vAlign w:val="center"/>
          </w:tcPr>
          <w:p w:rsidR="00820728" w:rsidRPr="007D07A0" w:rsidRDefault="00820728" w:rsidP="000B7F3A">
            <w:pPr>
              <w:spacing w:after="0"/>
            </w:pPr>
            <w:r w:rsidRPr="007D07A0">
              <w:t>NP</w:t>
            </w:r>
          </w:p>
        </w:tc>
        <w:tc>
          <w:tcPr>
            <w:tcW w:w="520" w:type="dxa"/>
            <w:gridSpan w:val="2"/>
            <w:vAlign w:val="center"/>
          </w:tcPr>
          <w:p w:rsidR="00820728" w:rsidRPr="007D07A0" w:rsidRDefault="00820728" w:rsidP="00712960">
            <w:pPr>
              <w:spacing w:after="0"/>
              <w:jc w:val="center"/>
            </w:pPr>
            <w:r w:rsidRPr="007D07A0">
              <w:t>GS</w:t>
            </w:r>
          </w:p>
        </w:tc>
        <w:tc>
          <w:tcPr>
            <w:tcW w:w="621" w:type="dxa"/>
            <w:vAlign w:val="center"/>
          </w:tcPr>
          <w:p w:rsidR="00820728" w:rsidRPr="0036333B" w:rsidRDefault="00820728" w:rsidP="00712960">
            <w:pPr>
              <w:spacing w:after="0"/>
              <w:jc w:val="center"/>
              <w:rPr>
                <w:u w:val="single"/>
              </w:rPr>
            </w:pPr>
            <w:r w:rsidRPr="0036333B">
              <w:rPr>
                <w:u w:val="single"/>
              </w:rPr>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965446" w:rsidP="000B7F3A">
            <w:pPr>
              <w:spacing w:after="0" w:line="240" w:lineRule="auto"/>
            </w:pPr>
            <w:r>
              <w:t xml:space="preserve">Necessary standards are listed—same comment as CCLS though, be sure that all standards listed are assessed </w:t>
            </w:r>
            <w:proofErr w:type="gramStart"/>
            <w:r>
              <w:t>within  the</w:t>
            </w:r>
            <w:proofErr w:type="gramEnd"/>
            <w:r>
              <w:t xml:space="preserve"> same unit.</w:t>
            </w:r>
          </w:p>
        </w:tc>
      </w:tr>
      <w:tr w:rsidR="00820728" w:rsidRPr="00241D13" w:rsidTr="007D07A0">
        <w:tc>
          <w:tcPr>
            <w:tcW w:w="2587" w:type="dxa"/>
          </w:tcPr>
          <w:p w:rsidR="00820728" w:rsidRPr="00820728" w:rsidRDefault="00820728" w:rsidP="00712960">
            <w:pPr>
              <w:widowControl w:val="0"/>
              <w:spacing w:after="0"/>
              <w:rPr>
                <w:sz w:val="18"/>
                <w:szCs w:val="18"/>
                <w14:ligatures w14:val="none"/>
              </w:rPr>
            </w:pPr>
            <w:r>
              <w:rPr>
                <w:sz w:val="18"/>
                <w:szCs w:val="18"/>
                <w14:ligatures w14:val="none"/>
              </w:rPr>
              <w:t>Is it clear that content/skills are to be taught in service of the larger concepts/standards identified?</w:t>
            </w:r>
          </w:p>
        </w:tc>
        <w:tc>
          <w:tcPr>
            <w:tcW w:w="520" w:type="dxa"/>
            <w:gridSpan w:val="2"/>
            <w:vAlign w:val="center"/>
          </w:tcPr>
          <w:p w:rsidR="00820728" w:rsidRPr="007D07A0" w:rsidRDefault="00820728" w:rsidP="00712960">
            <w:pPr>
              <w:spacing w:after="0"/>
              <w:jc w:val="center"/>
            </w:pPr>
            <w:r w:rsidRPr="007D07A0">
              <w:t>NP</w:t>
            </w:r>
          </w:p>
        </w:tc>
        <w:tc>
          <w:tcPr>
            <w:tcW w:w="520" w:type="dxa"/>
            <w:gridSpan w:val="2"/>
            <w:vAlign w:val="center"/>
          </w:tcPr>
          <w:p w:rsidR="00820728" w:rsidRPr="00965446" w:rsidRDefault="00820728" w:rsidP="00712960">
            <w:pPr>
              <w:spacing w:after="0"/>
              <w:jc w:val="center"/>
              <w:rPr>
                <w:u w:val="single"/>
              </w:rPr>
            </w:pPr>
            <w:r w:rsidRPr="00965446">
              <w:rPr>
                <w:u w:val="single"/>
              </w:rPr>
              <w:t>GS</w:t>
            </w:r>
          </w:p>
        </w:tc>
        <w:tc>
          <w:tcPr>
            <w:tcW w:w="621" w:type="dxa"/>
            <w:vAlign w:val="center"/>
          </w:tcPr>
          <w:p w:rsidR="00820728" w:rsidRPr="00965446" w:rsidRDefault="00820728" w:rsidP="00712960">
            <w:pPr>
              <w:spacing w:after="0"/>
              <w:jc w:val="center"/>
            </w:pPr>
            <w:r w:rsidRPr="00965446">
              <w:t>WW</w:t>
            </w:r>
          </w:p>
        </w:tc>
        <w:tc>
          <w:tcPr>
            <w:tcW w:w="360" w:type="dxa"/>
            <w:vAlign w:val="center"/>
          </w:tcPr>
          <w:p w:rsidR="00820728" w:rsidRPr="007D07A0" w:rsidRDefault="00820728" w:rsidP="00712960">
            <w:pPr>
              <w:spacing w:after="0"/>
              <w:jc w:val="center"/>
            </w:pPr>
            <w:r w:rsidRPr="007D07A0">
              <w:t>E</w:t>
            </w:r>
          </w:p>
        </w:tc>
        <w:tc>
          <w:tcPr>
            <w:tcW w:w="6210" w:type="dxa"/>
            <w:vAlign w:val="center"/>
          </w:tcPr>
          <w:p w:rsidR="00820728" w:rsidRPr="00241D13" w:rsidRDefault="00965446" w:rsidP="00965446">
            <w:pPr>
              <w:spacing w:after="0" w:line="240" w:lineRule="auto"/>
            </w:pPr>
            <w:r>
              <w:t xml:space="preserve">This is something which needs review (and something we’ve talked about)—be sure that the aims of this year of the course are true to the </w:t>
            </w:r>
            <w:proofErr w:type="gramStart"/>
            <w:r>
              <w:t>Language  &amp;</w:t>
            </w:r>
            <w:proofErr w:type="gramEnd"/>
            <w:r>
              <w:t xml:space="preserve"> Lit syllabus.  Review the L &amp; L subject guide for specifics.  The course should have a stronger focus on the way language is used in the </w:t>
            </w:r>
            <w:proofErr w:type="gramStart"/>
            <w:r>
              <w:t xml:space="preserve">pieces </w:t>
            </w:r>
            <w:r w:rsidR="0084789E">
              <w:t xml:space="preserve"> as</w:t>
            </w:r>
            <w:proofErr w:type="gramEnd"/>
            <w:r w:rsidR="0084789E">
              <w:t xml:space="preserve"> opposed to the elements of literature (this is a HUGE shift for us… but it directly supports pieces of the common core).</w:t>
            </w:r>
          </w:p>
        </w:tc>
      </w:tr>
      <w:tr w:rsidR="00712960" w:rsidRPr="00241D13" w:rsidTr="007D07A0">
        <w:tc>
          <w:tcPr>
            <w:tcW w:w="10818" w:type="dxa"/>
            <w:gridSpan w:val="8"/>
            <w:shd w:val="clear" w:color="auto" w:fill="D9D9D9" w:themeFill="background1" w:themeFillShade="D9"/>
            <w:vAlign w:val="center"/>
          </w:tcPr>
          <w:p w:rsidR="00712960" w:rsidRPr="00241D13" w:rsidRDefault="00712960" w:rsidP="00712960">
            <w:pPr>
              <w:spacing w:after="0"/>
              <w:rPr>
                <w:sz w:val="22"/>
                <w:szCs w:val="22"/>
              </w:rPr>
            </w:pPr>
            <w:r w:rsidRPr="00241D13">
              <w:rPr>
                <w:bCs/>
                <w:sz w:val="22"/>
                <w:szCs w:val="22"/>
                <w14:ligatures w14:val="none"/>
              </w:rPr>
              <w:t>Assessments</w:t>
            </w:r>
          </w:p>
        </w:tc>
      </w:tr>
      <w:tr w:rsidR="00712960" w:rsidRPr="00241D13" w:rsidTr="007D07A0">
        <w:tc>
          <w:tcPr>
            <w:tcW w:w="2587" w:type="dxa"/>
          </w:tcPr>
          <w:p w:rsidR="00712960" w:rsidRPr="00820728" w:rsidRDefault="00712960" w:rsidP="00712960">
            <w:pPr>
              <w:widowControl w:val="0"/>
              <w:spacing w:after="0"/>
              <w:rPr>
                <w:sz w:val="18"/>
                <w:szCs w:val="18"/>
                <w14:ligatures w14:val="none"/>
              </w:rPr>
            </w:pPr>
            <w:r>
              <w:rPr>
                <w:sz w:val="18"/>
                <w:szCs w:val="18"/>
                <w14:ligatures w14:val="none"/>
              </w:rPr>
              <w:t>Are the assessments aligned with the concepts and standards that are the focus of the course?</w:t>
            </w:r>
          </w:p>
        </w:tc>
        <w:tc>
          <w:tcPr>
            <w:tcW w:w="491" w:type="dxa"/>
            <w:vAlign w:val="center"/>
          </w:tcPr>
          <w:p w:rsidR="00712960" w:rsidRPr="007D07A0" w:rsidRDefault="00712960" w:rsidP="00712960">
            <w:pPr>
              <w:spacing w:after="0"/>
              <w:jc w:val="center"/>
            </w:pPr>
            <w:r w:rsidRPr="007D07A0">
              <w:t>NP</w:t>
            </w:r>
          </w:p>
        </w:tc>
        <w:tc>
          <w:tcPr>
            <w:tcW w:w="540" w:type="dxa"/>
            <w:gridSpan w:val="2"/>
            <w:vAlign w:val="center"/>
          </w:tcPr>
          <w:p w:rsidR="00712960" w:rsidRPr="0036333B" w:rsidRDefault="00712960" w:rsidP="00712960">
            <w:pPr>
              <w:spacing w:after="0"/>
              <w:jc w:val="center"/>
              <w:rPr>
                <w:u w:val="single"/>
              </w:rPr>
            </w:pPr>
            <w:r w:rsidRPr="0036333B">
              <w:rPr>
                <w:u w:val="single"/>
              </w:rPr>
              <w:t>GS</w:t>
            </w:r>
          </w:p>
        </w:tc>
        <w:tc>
          <w:tcPr>
            <w:tcW w:w="630" w:type="dxa"/>
            <w:gridSpan w:val="2"/>
            <w:vAlign w:val="center"/>
          </w:tcPr>
          <w:p w:rsidR="00712960" w:rsidRPr="007D07A0" w:rsidRDefault="00712960" w:rsidP="00712960">
            <w:pPr>
              <w:spacing w:after="0"/>
              <w:jc w:val="center"/>
            </w:pPr>
            <w:r w:rsidRPr="007D07A0">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Pr="00241D13" w:rsidRDefault="0084789E" w:rsidP="000B7F3A">
            <w:pPr>
              <w:spacing w:after="0" w:line="240" w:lineRule="auto"/>
            </w:pPr>
            <w:r>
              <w:t xml:space="preserve">Review each formative assessment listed on the matrix to ensure that it can be an ungraded assessment designed to build skills necessary for success on the summative assessment (needs to build toward summative).  </w:t>
            </w:r>
            <w:proofErr w:type="gramStart"/>
            <w:r>
              <w:t>If it cannot/is not,</w:t>
            </w:r>
            <w:proofErr w:type="gramEnd"/>
            <w:r>
              <w:t xml:space="preserve"> it will need to be changed.  The assessment you have listed can be placed in the unit planner as an additional assessment (if you’d like to retain it).</w:t>
            </w:r>
          </w:p>
        </w:tc>
      </w:tr>
      <w:tr w:rsidR="00712960" w:rsidRPr="00241D13" w:rsidTr="007D07A0">
        <w:trPr>
          <w:trHeight w:val="530"/>
        </w:trPr>
        <w:tc>
          <w:tcPr>
            <w:tcW w:w="2587" w:type="dxa"/>
          </w:tcPr>
          <w:p w:rsidR="00712960" w:rsidRDefault="00712960" w:rsidP="00712960">
            <w:pPr>
              <w:widowControl w:val="0"/>
              <w:spacing w:after="0"/>
            </w:pPr>
            <w:r>
              <w:rPr>
                <w:sz w:val="18"/>
                <w:szCs w:val="18"/>
                <w14:ligatures w14:val="none"/>
              </w:rPr>
              <w:t>Are the assessments varied and valid per IB requirements (e.g. open-ended problem-solving activities</w:t>
            </w:r>
            <w:r w:rsidR="000B7F3A">
              <w:rPr>
                <w:sz w:val="18"/>
                <w:szCs w:val="18"/>
                <w14:ligatures w14:val="none"/>
              </w:rPr>
              <w:t>, investigations</w:t>
            </w:r>
            <w:r>
              <w:rPr>
                <w:sz w:val="18"/>
                <w:szCs w:val="18"/>
                <w14:ligatures w14:val="none"/>
              </w:rPr>
              <w:t>, organized debates, hands-on experimentation, analysis and reflection)?</w:t>
            </w:r>
          </w:p>
        </w:tc>
        <w:tc>
          <w:tcPr>
            <w:tcW w:w="491" w:type="dxa"/>
            <w:vAlign w:val="center"/>
          </w:tcPr>
          <w:p w:rsidR="00712960" w:rsidRPr="007D07A0" w:rsidRDefault="00712960" w:rsidP="00712960">
            <w:pPr>
              <w:spacing w:after="0"/>
              <w:jc w:val="center"/>
            </w:pPr>
            <w:r w:rsidRPr="007D07A0">
              <w:t>NP</w:t>
            </w:r>
          </w:p>
        </w:tc>
        <w:tc>
          <w:tcPr>
            <w:tcW w:w="540" w:type="dxa"/>
            <w:gridSpan w:val="2"/>
            <w:vAlign w:val="center"/>
          </w:tcPr>
          <w:p w:rsidR="00712960" w:rsidRPr="0036333B" w:rsidRDefault="00712960" w:rsidP="00712960">
            <w:pPr>
              <w:spacing w:after="0"/>
              <w:jc w:val="center"/>
              <w:rPr>
                <w:u w:val="single"/>
              </w:rPr>
            </w:pPr>
            <w:r w:rsidRPr="0036333B">
              <w:rPr>
                <w:u w:val="single"/>
              </w:rPr>
              <w:t>GS</w:t>
            </w:r>
          </w:p>
        </w:tc>
        <w:tc>
          <w:tcPr>
            <w:tcW w:w="630" w:type="dxa"/>
            <w:gridSpan w:val="2"/>
            <w:vAlign w:val="center"/>
          </w:tcPr>
          <w:p w:rsidR="00712960" w:rsidRPr="007D07A0" w:rsidRDefault="00712960" w:rsidP="00712960">
            <w:pPr>
              <w:spacing w:after="0"/>
              <w:jc w:val="center"/>
            </w:pPr>
            <w:r w:rsidRPr="007D07A0">
              <w:t>WW</w:t>
            </w:r>
          </w:p>
        </w:tc>
        <w:tc>
          <w:tcPr>
            <w:tcW w:w="360" w:type="dxa"/>
            <w:vAlign w:val="center"/>
          </w:tcPr>
          <w:p w:rsidR="00712960" w:rsidRPr="007D07A0" w:rsidRDefault="00712960" w:rsidP="00712960">
            <w:pPr>
              <w:spacing w:after="0"/>
              <w:jc w:val="center"/>
            </w:pPr>
            <w:r w:rsidRPr="007D07A0">
              <w:t>E</w:t>
            </w:r>
          </w:p>
        </w:tc>
        <w:tc>
          <w:tcPr>
            <w:tcW w:w="6210" w:type="dxa"/>
            <w:vAlign w:val="center"/>
          </w:tcPr>
          <w:p w:rsidR="00712960" w:rsidRDefault="0084789E" w:rsidP="000B7F3A">
            <w:pPr>
              <w:spacing w:after="0" w:line="240" w:lineRule="auto"/>
            </w:pPr>
            <w:r>
              <w:t>Be sure that the assessments reflect (and represent) the assessments necessary for the Language and Lit course (and the pieces of syllabus sections represented in 12</w:t>
            </w:r>
            <w:r w:rsidRPr="0084789E">
              <w:rPr>
                <w:vertAlign w:val="superscript"/>
              </w:rPr>
              <w:t>th</w:t>
            </w:r>
            <w:r>
              <w:t xml:space="preserve"> grade).  Refer to the Language &amp; Lit subject guide.</w:t>
            </w:r>
          </w:p>
          <w:p w:rsidR="0084789E" w:rsidRDefault="0084789E" w:rsidP="000B7F3A">
            <w:pPr>
              <w:spacing w:after="0" w:line="240" w:lineRule="auto"/>
            </w:pPr>
          </w:p>
          <w:p w:rsidR="0084789E" w:rsidRDefault="0084789E" w:rsidP="000B7F3A">
            <w:pPr>
              <w:spacing w:after="0" w:line="240" w:lineRule="auto"/>
            </w:pPr>
          </w:p>
          <w:p w:rsidR="0084789E" w:rsidRDefault="0084789E" w:rsidP="000B7F3A">
            <w:pPr>
              <w:spacing w:after="0" w:line="240" w:lineRule="auto"/>
            </w:pPr>
          </w:p>
          <w:p w:rsidR="0084789E" w:rsidRDefault="0084789E" w:rsidP="000B7F3A">
            <w:pPr>
              <w:spacing w:after="0" w:line="240" w:lineRule="auto"/>
            </w:pPr>
          </w:p>
          <w:p w:rsidR="0084789E" w:rsidRPr="00241D13" w:rsidRDefault="0084789E" w:rsidP="000B7F3A">
            <w:pPr>
              <w:spacing w:after="0" w:line="240" w:lineRule="auto"/>
            </w:pPr>
          </w:p>
        </w:tc>
      </w:tr>
      <w:tr w:rsidR="00712960" w:rsidTr="007D07A0">
        <w:trPr>
          <w:trHeight w:val="305"/>
        </w:trPr>
        <w:tc>
          <w:tcPr>
            <w:tcW w:w="10818" w:type="dxa"/>
            <w:gridSpan w:val="8"/>
            <w:shd w:val="clear" w:color="auto" w:fill="D9D9D9" w:themeFill="background1" w:themeFillShade="D9"/>
          </w:tcPr>
          <w:p w:rsidR="00712960" w:rsidRPr="00712960" w:rsidRDefault="00712960" w:rsidP="00712960">
            <w:pPr>
              <w:spacing w:after="0"/>
              <w:rPr>
                <w:sz w:val="22"/>
                <w:szCs w:val="22"/>
              </w:rPr>
            </w:pPr>
            <w:r w:rsidRPr="00712960">
              <w:rPr>
                <w:b/>
                <w:sz w:val="22"/>
                <w:szCs w:val="22"/>
                <w14:ligatures w14:val="none"/>
              </w:rPr>
              <w:lastRenderedPageBreak/>
              <w:t>Recommendations:</w:t>
            </w:r>
          </w:p>
        </w:tc>
      </w:tr>
      <w:tr w:rsidR="00712960" w:rsidTr="007D07A0">
        <w:trPr>
          <w:trHeight w:val="530"/>
        </w:trPr>
        <w:tc>
          <w:tcPr>
            <w:tcW w:w="10818" w:type="dxa"/>
            <w:gridSpan w:val="8"/>
          </w:tcPr>
          <w:p w:rsidR="00712960" w:rsidRDefault="0084789E" w:rsidP="000B7F3A">
            <w:pPr>
              <w:spacing w:after="0" w:line="240" w:lineRule="auto"/>
            </w:pPr>
            <w:r>
              <w:t>The biggest elements in need of your attention are the number of standards listed for some of the units</w:t>
            </w:r>
            <w:proofErr w:type="gramStart"/>
            <w:r>
              <w:t>;  if</w:t>
            </w:r>
            <w:proofErr w:type="gramEnd"/>
            <w:r>
              <w:t xml:space="preserve"> they appear on the matrix they’ll need to be addressed/assessed within the unit and your scoring tools &amp; rules need to reflect all of them.</w:t>
            </w:r>
          </w:p>
          <w:p w:rsidR="0084789E" w:rsidRDefault="0084789E" w:rsidP="000B7F3A">
            <w:pPr>
              <w:spacing w:after="0" w:line="240" w:lineRule="auto"/>
            </w:pPr>
            <w:r>
              <w:t>In addition, review the Lang &amp; Lit guide to ensure that  you’re faithful to the course—you should be focusing on the ways in which language interacts with all things (the focus should not be the literature)—consider training (those who have attended and those who will attend).</w:t>
            </w:r>
          </w:p>
        </w:tc>
      </w:tr>
    </w:tbl>
    <w:p w:rsidR="00F94F44" w:rsidRDefault="00F94F44"/>
    <w:sectPr w:rsidR="00F94F44" w:rsidSect="007D07A0">
      <w:head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B6E" w:rsidRDefault="00811B6E" w:rsidP="00820728">
      <w:pPr>
        <w:spacing w:after="0" w:line="240" w:lineRule="auto"/>
      </w:pPr>
      <w:r>
        <w:separator/>
      </w:r>
    </w:p>
  </w:endnote>
  <w:endnote w:type="continuationSeparator" w:id="0">
    <w:p w:rsidR="00811B6E" w:rsidRDefault="00811B6E" w:rsidP="0082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B6E" w:rsidRDefault="00811B6E" w:rsidP="00820728">
      <w:pPr>
        <w:spacing w:after="0" w:line="240" w:lineRule="auto"/>
      </w:pPr>
      <w:r>
        <w:separator/>
      </w:r>
    </w:p>
  </w:footnote>
  <w:footnote w:type="continuationSeparator" w:id="0">
    <w:p w:rsidR="00811B6E" w:rsidRDefault="00811B6E" w:rsidP="008207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p>
  <w:p w:rsidR="00820728" w:rsidRDefault="008207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28" w:rsidRDefault="00820728">
    <w:pPr>
      <w:pStyle w:val="Header"/>
    </w:pPr>
    <w:r>
      <w:rPr>
        <w:rFonts w:ascii="Times New Roman" w:hAnsi="Times New Roman" w:cs="Times New Roman"/>
        <w:noProof/>
        <w:sz w:val="24"/>
        <w:szCs w:val="24"/>
      </w:rPr>
      <w:drawing>
        <wp:anchor distT="36576" distB="36576" distL="36576" distR="36576" simplePos="0" relativeHeight="251658240" behindDoc="0" locked="0" layoutInCell="1" allowOverlap="1" wp14:anchorId="4760573D" wp14:editId="55FF87C4">
          <wp:simplePos x="0" y="0"/>
          <wp:positionH relativeFrom="column">
            <wp:posOffset>1524000</wp:posOffset>
          </wp:positionH>
          <wp:positionV relativeFrom="paragraph">
            <wp:posOffset>-219075</wp:posOffset>
          </wp:positionV>
          <wp:extent cx="3714750" cy="748665"/>
          <wp:effectExtent l="0" t="0" r="0" b="0"/>
          <wp:wrapNone/>
          <wp:docPr id="1" name="Picture 1"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0" cy="7486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20728" w:rsidRDefault="00820728">
    <w:pPr>
      <w:pStyle w:val="Header"/>
    </w:pPr>
  </w:p>
  <w:p w:rsidR="00820728" w:rsidRDefault="00820728">
    <w:pPr>
      <w:pStyle w:val="Header"/>
    </w:pPr>
  </w:p>
  <w:p w:rsidR="00820728" w:rsidRDefault="008207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8"/>
    <w:rsid w:val="000B7F3A"/>
    <w:rsid w:val="00241D13"/>
    <w:rsid w:val="00271DD4"/>
    <w:rsid w:val="002769F0"/>
    <w:rsid w:val="0036333B"/>
    <w:rsid w:val="00712960"/>
    <w:rsid w:val="00713664"/>
    <w:rsid w:val="007D07A0"/>
    <w:rsid w:val="00811B6E"/>
    <w:rsid w:val="00820728"/>
    <w:rsid w:val="0084789E"/>
    <w:rsid w:val="00867232"/>
    <w:rsid w:val="00965446"/>
    <w:rsid w:val="00AE5588"/>
    <w:rsid w:val="00AF4F91"/>
    <w:rsid w:val="00BC0866"/>
    <w:rsid w:val="00CD200B"/>
    <w:rsid w:val="00CF1B62"/>
    <w:rsid w:val="00F94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728"/>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728"/>
  </w:style>
  <w:style w:type="paragraph" w:styleId="Footer">
    <w:name w:val="footer"/>
    <w:basedOn w:val="Normal"/>
    <w:link w:val="FooterChar"/>
    <w:uiPriority w:val="99"/>
    <w:unhideWhenUsed/>
    <w:rsid w:val="0082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728"/>
  </w:style>
  <w:style w:type="paragraph" w:styleId="BalloonText">
    <w:name w:val="Balloon Text"/>
    <w:basedOn w:val="Normal"/>
    <w:link w:val="BalloonTextChar"/>
    <w:uiPriority w:val="99"/>
    <w:semiHidden/>
    <w:unhideWhenUsed/>
    <w:rsid w:val="0082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728"/>
    <w:rPr>
      <w:rFonts w:ascii="Tahoma" w:hAnsi="Tahoma" w:cs="Tahoma"/>
      <w:sz w:val="16"/>
      <w:szCs w:val="16"/>
    </w:rPr>
  </w:style>
  <w:style w:type="table" w:styleId="TableGrid">
    <w:name w:val="Table Grid"/>
    <w:basedOn w:val="TableNormal"/>
    <w:uiPriority w:val="59"/>
    <w:rsid w:val="00820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13042">
      <w:bodyDiv w:val="1"/>
      <w:marLeft w:val="0"/>
      <w:marRight w:val="0"/>
      <w:marTop w:val="0"/>
      <w:marBottom w:val="0"/>
      <w:divBdr>
        <w:top w:val="none" w:sz="0" w:space="0" w:color="auto"/>
        <w:left w:val="none" w:sz="0" w:space="0" w:color="auto"/>
        <w:bottom w:val="none" w:sz="0" w:space="0" w:color="auto"/>
        <w:right w:val="none" w:sz="0" w:space="0" w:color="auto"/>
      </w:divBdr>
    </w:div>
    <w:div w:id="600643419">
      <w:bodyDiv w:val="1"/>
      <w:marLeft w:val="0"/>
      <w:marRight w:val="0"/>
      <w:marTop w:val="0"/>
      <w:marBottom w:val="0"/>
      <w:divBdr>
        <w:top w:val="none" w:sz="0" w:space="0" w:color="auto"/>
        <w:left w:val="none" w:sz="0" w:space="0" w:color="auto"/>
        <w:bottom w:val="none" w:sz="0" w:space="0" w:color="auto"/>
        <w:right w:val="none" w:sz="0" w:space="0" w:color="auto"/>
      </w:divBdr>
    </w:div>
    <w:div w:id="684401566">
      <w:bodyDiv w:val="1"/>
      <w:marLeft w:val="0"/>
      <w:marRight w:val="0"/>
      <w:marTop w:val="0"/>
      <w:marBottom w:val="0"/>
      <w:divBdr>
        <w:top w:val="none" w:sz="0" w:space="0" w:color="auto"/>
        <w:left w:val="none" w:sz="0" w:space="0" w:color="auto"/>
        <w:bottom w:val="none" w:sz="0" w:space="0" w:color="auto"/>
        <w:right w:val="none" w:sz="0" w:space="0" w:color="auto"/>
      </w:divBdr>
    </w:div>
    <w:div w:id="691418017">
      <w:bodyDiv w:val="1"/>
      <w:marLeft w:val="0"/>
      <w:marRight w:val="0"/>
      <w:marTop w:val="0"/>
      <w:marBottom w:val="0"/>
      <w:divBdr>
        <w:top w:val="none" w:sz="0" w:space="0" w:color="auto"/>
        <w:left w:val="none" w:sz="0" w:space="0" w:color="auto"/>
        <w:bottom w:val="none" w:sz="0" w:space="0" w:color="auto"/>
        <w:right w:val="none" w:sz="0" w:space="0" w:color="auto"/>
      </w:divBdr>
    </w:div>
    <w:div w:id="810830342">
      <w:bodyDiv w:val="1"/>
      <w:marLeft w:val="0"/>
      <w:marRight w:val="0"/>
      <w:marTop w:val="0"/>
      <w:marBottom w:val="0"/>
      <w:divBdr>
        <w:top w:val="none" w:sz="0" w:space="0" w:color="auto"/>
        <w:left w:val="none" w:sz="0" w:space="0" w:color="auto"/>
        <w:bottom w:val="none" w:sz="0" w:space="0" w:color="auto"/>
        <w:right w:val="none" w:sz="0" w:space="0" w:color="auto"/>
      </w:divBdr>
    </w:div>
    <w:div w:id="833958400">
      <w:bodyDiv w:val="1"/>
      <w:marLeft w:val="0"/>
      <w:marRight w:val="0"/>
      <w:marTop w:val="0"/>
      <w:marBottom w:val="0"/>
      <w:divBdr>
        <w:top w:val="none" w:sz="0" w:space="0" w:color="auto"/>
        <w:left w:val="none" w:sz="0" w:space="0" w:color="auto"/>
        <w:bottom w:val="none" w:sz="0" w:space="0" w:color="auto"/>
        <w:right w:val="none" w:sz="0" w:space="0" w:color="auto"/>
      </w:divBdr>
    </w:div>
    <w:div w:id="1208300646">
      <w:bodyDiv w:val="1"/>
      <w:marLeft w:val="0"/>
      <w:marRight w:val="0"/>
      <w:marTop w:val="0"/>
      <w:marBottom w:val="0"/>
      <w:divBdr>
        <w:top w:val="none" w:sz="0" w:space="0" w:color="auto"/>
        <w:left w:val="none" w:sz="0" w:space="0" w:color="auto"/>
        <w:bottom w:val="none" w:sz="0" w:space="0" w:color="auto"/>
        <w:right w:val="none" w:sz="0" w:space="0" w:color="auto"/>
      </w:divBdr>
    </w:div>
    <w:div w:id="1434744631">
      <w:bodyDiv w:val="1"/>
      <w:marLeft w:val="0"/>
      <w:marRight w:val="0"/>
      <w:marTop w:val="0"/>
      <w:marBottom w:val="0"/>
      <w:divBdr>
        <w:top w:val="none" w:sz="0" w:space="0" w:color="auto"/>
        <w:left w:val="none" w:sz="0" w:space="0" w:color="auto"/>
        <w:bottom w:val="none" w:sz="0" w:space="0" w:color="auto"/>
        <w:right w:val="none" w:sz="0" w:space="0" w:color="auto"/>
      </w:divBdr>
    </w:div>
    <w:div w:id="1642081316">
      <w:bodyDiv w:val="1"/>
      <w:marLeft w:val="0"/>
      <w:marRight w:val="0"/>
      <w:marTop w:val="0"/>
      <w:marBottom w:val="0"/>
      <w:divBdr>
        <w:top w:val="none" w:sz="0" w:space="0" w:color="auto"/>
        <w:left w:val="none" w:sz="0" w:space="0" w:color="auto"/>
        <w:bottom w:val="none" w:sz="0" w:space="0" w:color="auto"/>
        <w:right w:val="none" w:sz="0" w:space="0" w:color="auto"/>
      </w:divBdr>
    </w:div>
    <w:div w:id="1693192533">
      <w:bodyDiv w:val="1"/>
      <w:marLeft w:val="0"/>
      <w:marRight w:val="0"/>
      <w:marTop w:val="0"/>
      <w:marBottom w:val="0"/>
      <w:divBdr>
        <w:top w:val="none" w:sz="0" w:space="0" w:color="auto"/>
        <w:left w:val="none" w:sz="0" w:space="0" w:color="auto"/>
        <w:bottom w:val="none" w:sz="0" w:space="0" w:color="auto"/>
        <w:right w:val="none" w:sz="0" w:space="0" w:color="auto"/>
      </w:divBdr>
    </w:div>
    <w:div w:id="1807897384">
      <w:bodyDiv w:val="1"/>
      <w:marLeft w:val="0"/>
      <w:marRight w:val="0"/>
      <w:marTop w:val="0"/>
      <w:marBottom w:val="0"/>
      <w:divBdr>
        <w:top w:val="none" w:sz="0" w:space="0" w:color="auto"/>
        <w:left w:val="none" w:sz="0" w:space="0" w:color="auto"/>
        <w:bottom w:val="none" w:sz="0" w:space="0" w:color="auto"/>
        <w:right w:val="none" w:sz="0" w:space="0" w:color="auto"/>
      </w:divBdr>
    </w:div>
    <w:div w:id="186123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888B9-5708-4E60-930D-9783B90D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CPPASD</dc:creator>
  <cp:lastModifiedBy>Windows User</cp:lastModifiedBy>
  <cp:revision>4</cp:revision>
  <dcterms:created xsi:type="dcterms:W3CDTF">2013-07-09T16:00:00Z</dcterms:created>
  <dcterms:modified xsi:type="dcterms:W3CDTF">2013-08-26T00:11:00Z</dcterms:modified>
</cp:coreProperties>
</file>